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30" w:hRule="atLeast"/>
        </w:trPr>
        <w:tc>
          <w:tcPr>
            <w:tcW w:w="675"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27.06.2024</w:t>
            </w:r>
          </w:p>
        </w:tc>
        <w:tc>
          <w:tcPr>
            <w:tcW w:w="486"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376</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22.12.2023 № 765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w:t>
            </w:r>
          </w:p>
        </w:tc>
      </w:tr>
    </w:tbl>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Закона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r>
        <w:rPr>
          <w:rFonts w:cs="Times New Roman" w:ascii="Times New Roman" w:hAnsi="Times New Roman"/>
          <w:i w:val="false"/>
          <w:iCs w:val="false"/>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r>
        <w:rPr>
          <w:rFonts w:eastAsia="SimSun" w:cs="Times New Roman" w:ascii="Times New Roman" w:hAnsi="Times New Roman"/>
          <w:b w:val="false"/>
          <w:bCs w:val="false"/>
          <w:i w:val="false"/>
          <w:iCs w:val="false"/>
          <w:sz w:val="28"/>
          <w:szCs w:val="28"/>
        </w:rPr>
        <w:t>,</w:t>
      </w:r>
      <w:r>
        <w:rPr>
          <w:rFonts w:cs="Times New Roman" w:ascii="Times New Roman" w:hAnsi="Times New Roman"/>
          <w:b w:val="false"/>
          <w:bCs w:val="false"/>
          <w:i w:val="false"/>
          <w:iCs w:val="false"/>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tru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Утвердить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 в новой редакции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tabs>
          <w:tab w:val="clear" w:pos="708"/>
          <w:tab w:val="left" w:pos="675" w:leader="none"/>
        </w:tabs>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tabs>
          <w:tab w:val="clear" w:pos="708"/>
          <w:tab w:val="left" w:pos="960" w:leader="none"/>
        </w:tabs>
        <w:overflowPunct w:val="tru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tru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27.06.2024 № 376</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9"/>
      <w:bookmarkStart w:id="1" w:name="Par43"/>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иной экономической деятельности на 2024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01.09.2020 г. № 477 «Об утверждении административного регламента Администрации Артинского городского округа предоставления муниципальной услуги «Предоставления информации из информационной системы обеспечения градостроительной деятельности» на территории Артинского городского округа в новой редакции»</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t>О внесении изменений в Решение Думы Артинского городского округа от 27.04.2017 г. № 22 «О Порядке определения цены земельных участков, находящихся в собственности Артинского городского округа, при заключении договора купли-продажи таких земельных участков без проведения торгов (в редакции от 27.02.2020 № 9)»</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22.08.2022 г. № 488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Артинского городского округа»</w:t>
            </w:r>
          </w:p>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t>Постановление Администрации Артинского городского округа  от 17.02.2022 г. № 97 «Об утверждении административного регламента предоставления муниципальной услуги «Выдача разрешения на осуществление земляных работ на территории Артинского городского округа» (в редакции от 17.01.2023 № 11, от 29.06.2023 № 346)</w:t>
            </w:r>
          </w:p>
          <w:p>
            <w:pPr>
              <w:pStyle w:val="Normal"/>
              <w:widowControl w:val="false"/>
              <w:spacing w:lineRule="auto" w:line="240" w:before="0" w:after="29"/>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t>2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cs="Times New Roman" w:ascii="Times New Roman" w:hAnsi="Times New Roman"/>
                <w:sz w:val="24"/>
                <w:szCs w:val="24"/>
                <w:shd w:fill="auto" w:val="clear"/>
              </w:rPr>
              <w:t>Решение Думы Артинского городского округа  от 26.08.2021 г. № 46 «Об  утверждении Положения «О муниципальном лесном контроле на территории Артинского городского округа» (в редакции от 26.01.2023 № 8)</w:t>
            </w:r>
          </w:p>
          <w:p>
            <w:pPr>
              <w:pStyle w:val="Style19"/>
              <w:widowControl w:val="false"/>
              <w:spacing w:lineRule="auto" w:line="240" w:beforeAutospacing="1" w:after="0"/>
              <w:jc w:val="left"/>
              <w:rPr>
                <w:rFonts w:ascii="Times New Roman" w:hAnsi="Times New Roman"/>
                <w:sz w:val="24"/>
                <w:szCs w:val="24"/>
              </w:rPr>
            </w:pPr>
            <w:r>
              <w:rPr>
                <w:rFonts w:ascii="Times New Roman" w:hAnsi="Times New Roman"/>
                <w:sz w:val="24"/>
                <w:szCs w:val="24"/>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highlight w:val="none"/>
                <w:shd w:fill="auto" w:val="clear"/>
              </w:rPr>
            </w:pPr>
            <w:r>
              <w:rPr>
                <w:rFonts w:eastAsia="Times New Roman" w:cs="Times New Roman" w:ascii="Times New Roman" w:hAnsi="Times New Roman"/>
                <w:color w:val="000000"/>
                <w:sz w:val="24"/>
                <w:szCs w:val="24"/>
                <w:shd w:fill="auto" w:val="clear"/>
                <w:lang w:eastAsia="ru-RU"/>
              </w:rPr>
              <w:t>3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highlight w:val="none"/>
                <w:shd w:fill="auto" w:val="clear"/>
              </w:rPr>
            </w:pPr>
            <w:r>
              <w:rPr>
                <w:rFonts w:cs="Times New Roman" w:ascii="Times New Roman" w:hAnsi="Times New Roman"/>
                <w:sz w:val="24"/>
                <w:szCs w:val="24"/>
                <w:shd w:fill="auto" w:val="clear"/>
              </w:rPr>
              <w:t>Решение Думы Артинского городского округа  от 26.08.2021 г. № 45 «Об  утверждении Положения «О муниципальном земельном контроле на территории Артинского городского округа» (в редакции от 26.01.2023 № 9, от 28.09.2023 № 68)</w:t>
            </w:r>
          </w:p>
          <w:p>
            <w:pPr>
              <w:pStyle w:val="Style19"/>
              <w:widowControl w:val="false"/>
              <w:spacing w:lineRule="auto" w:line="240" w:beforeAutospacing="1" w:after="0"/>
              <w:jc w:val="left"/>
              <w:rPr>
                <w:rFonts w:ascii="Times New Roman" w:hAnsi="Times New Roman"/>
                <w:sz w:val="24"/>
                <w:szCs w:val="24"/>
                <w:highlight w:val="none"/>
                <w:shd w:fill="auto" w:val="clear"/>
              </w:rPr>
            </w:pPr>
            <w:r>
              <w:rPr>
                <w:rFonts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highlight w:val="none"/>
                <w:shd w:fill="auto" w:val="clear"/>
              </w:rPr>
            </w:pP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color w:val="000000"/>
                <w:sz w:val="24"/>
                <w:szCs w:val="24"/>
                <w:shd w:fill="auto" w:val="clear"/>
                <w:lang w:eastAsia="ru-RU"/>
              </w:rPr>
              <w:t>3 квартал 20</w:t>
            </w:r>
            <w:r>
              <w:rPr>
                <w:rFonts w:eastAsia="Times New Roman" w:cs="Times New Roman" w:ascii="Times New Roman" w:hAnsi="Times New Roman"/>
                <w:color w:val="000000"/>
                <w:kern w:val="0"/>
                <w:sz w:val="24"/>
                <w:szCs w:val="24"/>
                <w:shd w:fill="auto" w:val="clear"/>
                <w:lang w:val="ru-RU" w:eastAsia="ru-RU" w:bidi="ar-SA"/>
              </w:rPr>
              <w:t>24 года</w:t>
            </w:r>
          </w:p>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sz w:val="24"/>
                <w:szCs w:val="24"/>
                <w:highlight w:val="none"/>
                <w:shd w:fill="auto" w:val="clear"/>
              </w:rPr>
            </w:pPr>
            <w:r>
              <w:rPr>
                <w:rFonts w:cs="Times New Roman" w:ascii="Times New Roman" w:hAnsi="Times New Roman"/>
                <w:sz w:val="24"/>
                <w:szCs w:val="24"/>
                <w:shd w:fill="auto" w:val="clear"/>
              </w:rPr>
              <w:t>Постановление Администрации Артинского городского округа  от 29.07.2022 г. № 451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3 квартал 2024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sz w:val="24"/>
                <w:szCs w:val="24"/>
                <w:highlight w:val="none"/>
                <w:shd w:fill="auto" w:val="clear"/>
              </w:rPr>
            </w:pPr>
            <w:r>
              <w:rPr>
                <w:rFonts w:cs="Times New Roman" w:ascii="Times New Roman" w:hAnsi="Times New Roman"/>
                <w:sz w:val="24"/>
                <w:szCs w:val="24"/>
                <w:shd w:fill="auto" w:val="clear"/>
              </w:rPr>
              <w:t>Решение Думы Артинского городского округа  от 31.03.2022 г. № 14 «О Порядке определения платы за использование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color w:val="000000"/>
                <w:sz w:val="24"/>
                <w:szCs w:val="24"/>
                <w:shd w:fill="auto" w:val="clear"/>
                <w:lang w:eastAsia="ru-RU"/>
              </w:rPr>
              <w:t>3 квартал 20</w:t>
            </w:r>
            <w:r>
              <w:rPr>
                <w:rFonts w:eastAsia="Times New Roman" w:cs="Times New Roman" w:ascii="Times New Roman" w:hAnsi="Times New Roman"/>
                <w:color w:val="000000"/>
                <w:kern w:val="0"/>
                <w:sz w:val="24"/>
                <w:szCs w:val="24"/>
                <w:shd w:fill="auto" w:val="clear"/>
                <w:lang w:val="ru-RU" w:eastAsia="ru-RU" w:bidi="ar-SA"/>
              </w:rPr>
              <w:t>24 года</w:t>
            </w:r>
          </w:p>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pStyle w:val="Normal"/>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tabs>
          <w:tab w:val="clear" w:pos="708"/>
          <w:tab w:val="left" w:pos="6162" w:leader="none"/>
        </w:tabs>
        <w:overflowPunct w:val="true"/>
        <w:spacing w:lineRule="auto" w:line="240" w:before="0" w:after="0"/>
        <w:jc w:val="left"/>
        <w:textAlignment w:val="baseline"/>
        <w:rPr>
          <w:rFonts w:ascii="Times New Roman" w:hAnsi="Times New Roman" w:eastAsia="Times New Roman" w:cs="Times New Roman"/>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652770"/>
    <w:rPr/>
  </w:style>
  <w:style w:type="character" w:styleId="Style14" w:customStyle="1">
    <w:name w:val="Нижний колонтитул Знак"/>
    <w:basedOn w:val="DefaultParagraphFont"/>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uiPriority w:val="99"/>
    <w:semiHidden/>
    <w:qFormat/>
    <w:rsid w:val="00652770"/>
    <w:rPr>
      <w:rFonts w:ascii="Tahoma" w:hAnsi="Tahoma" w:cs="Tahoma"/>
      <w:sz w:val="16"/>
      <w:szCs w:val="16"/>
    </w:rPr>
  </w:style>
  <w:style w:type="character" w:styleId="Style16">
    <w:name w:val="Hyperlink"/>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Application>LibreOffice/7.4.6.2$Windows_X86_64 LibreOffice_project/5b1f5509c2decdade7fda905e3e1429a67acd63d</Application>
  <AppVersion>15.0000</AppVersion>
  <Pages>6</Pages>
  <Words>678</Words>
  <Characters>4968</Characters>
  <CharactersWithSpaces>5696</CharactersWithSpaces>
  <Paragraphs>63</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dcterms:modified xsi:type="dcterms:W3CDTF">2024-07-11T10:04:09Z</dcterms:modified>
  <cp:revision>377</cp:revision>
  <dc:subject/>
  <dc:title/>
</cp:coreProperties>
</file>

<file path=docProps/custom.xml><?xml version="1.0" encoding="utf-8"?>
<Properties xmlns="http://schemas.openxmlformats.org/officeDocument/2006/custom-properties" xmlns:vt="http://schemas.openxmlformats.org/officeDocument/2006/docPropsVTypes"/>
</file>